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5BB" w:rsidRDefault="0021531C" w:rsidP="00BA50DF">
      <w:pPr>
        <w:spacing w:after="240" w:line="480" w:lineRule="auto"/>
        <w:jc w:val="center"/>
      </w:pPr>
      <w:bookmarkStart w:id="0" w:name="_GoBack"/>
      <w:bookmarkEnd w:id="0"/>
      <w:r w:rsidRPr="00FE45BB">
        <w:rPr>
          <w:b/>
        </w:rPr>
        <w:t>Vaccination Policies</w:t>
      </w:r>
    </w:p>
    <w:p w:rsidR="008671F4" w:rsidRDefault="00885B81" w:rsidP="00FE45BB">
      <w:pPr>
        <w:spacing w:after="240" w:line="480" w:lineRule="auto"/>
        <w:ind w:firstLine="720"/>
      </w:pPr>
      <w:r>
        <w:t xml:space="preserve">Vaccination policies are essential in protecting individuals from certain diseases that would otherwise cause severe damage to their bodies or even death. Vaccination also hinders a disease from being transferred among different communities. </w:t>
      </w:r>
      <w:r w:rsidR="0021531C">
        <w:t>Therefore,</w:t>
      </w:r>
      <w:r>
        <w:t xml:space="preserve"> those who are not able to afford a vaccination are protected as well. The state is responsible for supplementing funds that cover vaccination for all children. The state government enacts vaccination laws for certain populations, including school children and certain health workers. The government mandates and enforces immunization via school entry. Also, the state has a financial responsibility towards immunization despite heavily relying on the federal government.</w:t>
      </w:r>
    </w:p>
    <w:p w:rsidR="008671F4" w:rsidRDefault="00885B81" w:rsidP="00FE45BB">
      <w:pPr>
        <w:spacing w:before="240" w:after="240" w:line="480" w:lineRule="auto"/>
        <w:ind w:firstLine="720"/>
      </w:pPr>
      <w:r>
        <w:t xml:space="preserve">Further, the state government has a role in tackling economic and social issues affecting various health policies. The state adopts procedures in order to evaluate the utilization of care and services and aid in establishing a plan for reviewing the quality of </w:t>
      </w:r>
      <w:r w:rsidR="00FE45BB">
        <w:t>healthcare (Philbin et al., 2018)</w:t>
      </w:r>
      <w:r>
        <w:t>. At the state level, health policies ensure that the state administering vaccination program adheres to regulatory requirements. Also, they ensure the state government ensures that the providers and health plans satisfy the federal requirements. Lastly, the policies ensure that state agencies conduct an adequate inspection and certify that the standards have been fully met.</w:t>
      </w:r>
    </w:p>
    <w:p w:rsidR="008671F4" w:rsidRDefault="00885B81" w:rsidP="00FE45BB">
      <w:pPr>
        <w:spacing w:before="240" w:after="240" w:line="480" w:lineRule="auto"/>
        <w:ind w:firstLine="720"/>
      </w:pPr>
      <w:r>
        <w:t>At institutional levels, organizations oversee the production of vaccines and ensure continuing of their safety. Vaccination policies monitor the vaccine and production activities, including periodic facility inspections. The providers must address the work of ensuring that the procedures and policies are up-to-date, effectively communicated, and easily available throughout the institution. At an institutional level, the policies aid in communicating to employees the desired outcome</w:t>
      </w:r>
      <w:r w:rsidR="00FE45BB">
        <w:t xml:space="preserve"> of the organization (Babcock et al., 2020). Also, at</w:t>
      </w:r>
      <w:r>
        <w:t xml:space="preserve"> an </w:t>
      </w:r>
      <w:r>
        <w:lastRenderedPageBreak/>
        <w:t>institutional level, health policy allows providers to offer assistance and support to people and caregivers in navigating health and social services schemes. They form a fundamental foundation for sharing information and providing a form of belonging to patience and providers.</w:t>
      </w:r>
    </w:p>
    <w:p w:rsidR="008671F4" w:rsidRDefault="008671F4"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FE45BB" w:rsidRDefault="00FE45BB" w:rsidP="00FE45BB">
      <w:pPr>
        <w:spacing w:before="240" w:after="240" w:line="480" w:lineRule="auto"/>
      </w:pPr>
    </w:p>
    <w:p w:rsidR="008671F4" w:rsidRDefault="00885B81" w:rsidP="0021531C">
      <w:pPr>
        <w:spacing w:before="240" w:after="240"/>
        <w:jc w:val="center"/>
      </w:pPr>
      <w:r>
        <w:lastRenderedPageBreak/>
        <w:t>References</w:t>
      </w:r>
    </w:p>
    <w:p w:rsidR="008671F4" w:rsidRDefault="00885B81" w:rsidP="00FE45BB">
      <w:pPr>
        <w:spacing w:before="240" w:after="240" w:line="480" w:lineRule="auto"/>
        <w:ind w:left="720" w:hanging="720"/>
      </w:pPr>
      <w:r>
        <w:t xml:space="preserve">Babcock, H. M., Beekmann, S. E., Pillai, S. K., Santibanez, S., Lee, L., Kuhar, D. T., ... &amp; Polgreen, P. M. (2020). Reported variability in healthcare facility policies regarding healthcare personnel working while experiencing influenza-like illnesses: An emerging infections network survey. </w:t>
      </w:r>
      <w:r>
        <w:rPr>
          <w:i/>
          <w:iCs/>
        </w:rPr>
        <w:t>Infection Control &amp; Hospital Epidemiology</w:t>
      </w:r>
      <w:r>
        <w:t xml:space="preserve">, </w:t>
      </w:r>
      <w:r>
        <w:rPr>
          <w:i/>
          <w:iCs/>
        </w:rPr>
        <w:t>41</w:t>
      </w:r>
      <w:r>
        <w:t>(1), 80-85.</w:t>
      </w:r>
    </w:p>
    <w:p w:rsidR="008671F4" w:rsidRDefault="00885B81" w:rsidP="00FE45BB">
      <w:pPr>
        <w:spacing w:before="240" w:after="240" w:line="480" w:lineRule="auto"/>
        <w:ind w:left="720" w:hanging="720"/>
      </w:pPr>
      <w:r>
        <w:t xml:space="preserve">Philbin, M. M., Flake, M., Hatzenbuehler, M. L., &amp; Hirsch, J. S. (2018). State-level immigration and immigrant-focused policies as drivers of Latino health disparities in the United States. </w:t>
      </w:r>
      <w:r>
        <w:rPr>
          <w:i/>
          <w:iCs/>
        </w:rPr>
        <w:t>Social Science &amp; Medicine</w:t>
      </w:r>
      <w:r>
        <w:t xml:space="preserve">, </w:t>
      </w:r>
      <w:r>
        <w:rPr>
          <w:i/>
          <w:iCs/>
        </w:rPr>
        <w:t>199</w:t>
      </w:r>
      <w:r>
        <w:t>, 29-38.</w:t>
      </w:r>
    </w:p>
    <w:sectPr w:rsidR="008671F4">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B81" w:rsidRDefault="00885B81" w:rsidP="00FE45BB">
      <w:r>
        <w:separator/>
      </w:r>
    </w:p>
  </w:endnote>
  <w:endnote w:type="continuationSeparator" w:id="0">
    <w:p w:rsidR="00885B81" w:rsidRDefault="00885B81" w:rsidP="00FE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B81" w:rsidRDefault="00885B81" w:rsidP="00FE45BB">
      <w:r>
        <w:separator/>
      </w:r>
    </w:p>
  </w:footnote>
  <w:footnote w:type="continuationSeparator" w:id="0">
    <w:p w:rsidR="00885B81" w:rsidRDefault="00885B81" w:rsidP="00FE45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446838"/>
      <w:docPartObj>
        <w:docPartGallery w:val="Page Numbers (Top of Page)"/>
        <w:docPartUnique/>
      </w:docPartObj>
    </w:sdtPr>
    <w:sdtEndPr>
      <w:rPr>
        <w:noProof/>
      </w:rPr>
    </w:sdtEndPr>
    <w:sdtContent>
      <w:p w:rsidR="00FE45BB" w:rsidRDefault="00FE45BB">
        <w:pPr>
          <w:pStyle w:val="Header"/>
          <w:jc w:val="right"/>
        </w:pPr>
        <w:r>
          <w:fldChar w:fldCharType="begin"/>
        </w:r>
        <w:r>
          <w:instrText xml:space="preserve"> PAGE   \* MERGEFORMAT </w:instrText>
        </w:r>
        <w:r>
          <w:fldChar w:fldCharType="separate"/>
        </w:r>
        <w:r w:rsidR="00BA50DF">
          <w:rPr>
            <w:noProof/>
          </w:rPr>
          <w:t>3</w:t>
        </w:r>
        <w:r>
          <w:rPr>
            <w:noProof/>
          </w:rPr>
          <w:fldChar w:fldCharType="end"/>
        </w:r>
      </w:p>
    </w:sdtContent>
  </w:sdt>
  <w:p w:rsidR="00FE45BB" w:rsidRDefault="00FE45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1F4"/>
    <w:rsid w:val="0021531C"/>
    <w:rsid w:val="008671F4"/>
    <w:rsid w:val="00885B81"/>
    <w:rsid w:val="00BA50DF"/>
    <w:rsid w:val="00FE4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8568"/>
  <w15:docId w15:val="{6EBF3A02-6A07-49E4-97DF-45B99A4A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FE45BB"/>
    <w:pPr>
      <w:tabs>
        <w:tab w:val="center" w:pos="4680"/>
        <w:tab w:val="right" w:pos="9360"/>
      </w:tabs>
    </w:pPr>
  </w:style>
  <w:style w:type="character" w:customStyle="1" w:styleId="HeaderChar">
    <w:name w:val="Header Char"/>
    <w:basedOn w:val="DefaultParagraphFont"/>
    <w:link w:val="Header"/>
    <w:uiPriority w:val="99"/>
    <w:rsid w:val="00FE45BB"/>
    <w:rPr>
      <w:sz w:val="24"/>
      <w:szCs w:val="24"/>
    </w:rPr>
  </w:style>
  <w:style w:type="paragraph" w:styleId="Footer">
    <w:name w:val="footer"/>
    <w:basedOn w:val="Normal"/>
    <w:link w:val="FooterChar"/>
    <w:uiPriority w:val="99"/>
    <w:unhideWhenUsed/>
    <w:rsid w:val="00FE45BB"/>
    <w:pPr>
      <w:tabs>
        <w:tab w:val="center" w:pos="4680"/>
        <w:tab w:val="right" w:pos="9360"/>
      </w:tabs>
    </w:pPr>
  </w:style>
  <w:style w:type="character" w:customStyle="1" w:styleId="FooterChar">
    <w:name w:val="Footer Char"/>
    <w:basedOn w:val="DefaultParagraphFont"/>
    <w:link w:val="Footer"/>
    <w:uiPriority w:val="99"/>
    <w:rsid w:val="00FE45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3</cp:revision>
  <dcterms:created xsi:type="dcterms:W3CDTF">2021-08-26T15:07:00Z</dcterms:created>
  <dcterms:modified xsi:type="dcterms:W3CDTF">2021-08-26T15:07:00Z</dcterms:modified>
</cp:coreProperties>
</file>